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4442" w14:textId="374F9183" w:rsidR="00940774" w:rsidRDefault="00212C1D" w:rsidP="00C75832">
      <w:pPr>
        <w:ind w:right="49"/>
        <w:jc w:val="center"/>
        <w:rPr>
          <w:rFonts w:ascii="Tahoma" w:eastAsia="Times New Roman" w:hAnsi="Tahoma" w:cs="Tahoma"/>
          <w:b/>
          <w:lang w:eastAsia="es-ES"/>
        </w:rPr>
      </w:pPr>
      <w:r w:rsidRPr="00C75832">
        <w:rPr>
          <w:rFonts w:ascii="Tahoma" w:hAnsi="Tahoma" w:cs="Tahoma"/>
          <w:b/>
        </w:rPr>
        <w:t xml:space="preserve">CONVOCATORIA </w:t>
      </w:r>
      <w:r w:rsidR="000A2E48" w:rsidRPr="00C75832">
        <w:rPr>
          <w:rFonts w:ascii="Tahoma" w:hAnsi="Tahoma" w:cs="Tahoma"/>
          <w:b/>
        </w:rPr>
        <w:t>OPD/CMD/SC</w:t>
      </w:r>
      <w:r w:rsidRPr="00C75832">
        <w:rPr>
          <w:rFonts w:ascii="Tahoma" w:hAnsi="Tahoma" w:cs="Tahoma"/>
          <w:b/>
        </w:rPr>
        <w:t>/</w:t>
      </w:r>
      <w:r w:rsidR="00215250">
        <w:rPr>
          <w:rFonts w:ascii="Tahoma" w:hAnsi="Tahoma" w:cs="Tahoma"/>
          <w:b/>
        </w:rPr>
        <w:t>0</w:t>
      </w:r>
      <w:r w:rsidR="008D5E73">
        <w:rPr>
          <w:rFonts w:ascii="Tahoma" w:hAnsi="Tahoma" w:cs="Tahoma"/>
          <w:b/>
        </w:rPr>
        <w:t>01</w:t>
      </w:r>
      <w:r w:rsidR="000A2E48" w:rsidRPr="00C75832">
        <w:rPr>
          <w:rFonts w:ascii="Tahoma" w:hAnsi="Tahoma" w:cs="Tahoma"/>
          <w:b/>
        </w:rPr>
        <w:t>/</w:t>
      </w:r>
      <w:r w:rsidR="00DE1968" w:rsidRPr="00C75832">
        <w:rPr>
          <w:rFonts w:ascii="Tahoma" w:hAnsi="Tahoma" w:cs="Tahoma"/>
          <w:b/>
        </w:rPr>
        <w:t>202</w:t>
      </w:r>
      <w:r w:rsidR="008D5E73">
        <w:rPr>
          <w:rFonts w:ascii="Tahoma" w:hAnsi="Tahoma" w:cs="Tahoma"/>
          <w:b/>
        </w:rPr>
        <w:t>6</w:t>
      </w:r>
      <w:r w:rsidR="000A2E48" w:rsidRPr="00C75832">
        <w:rPr>
          <w:rFonts w:ascii="Tahoma" w:hAnsi="Tahoma" w:cs="Tahoma"/>
          <w:b/>
        </w:rPr>
        <w:t xml:space="preserve"> </w:t>
      </w:r>
      <w:bookmarkStart w:id="0" w:name="_Hlk190086063"/>
      <w:bookmarkStart w:id="1" w:name="_Hlk191642343"/>
      <w:bookmarkStart w:id="2" w:name="_Hlk183780855"/>
      <w:r w:rsidR="004C7040">
        <w:rPr>
          <w:rFonts w:ascii="Tahoma" w:eastAsia="Times New Roman" w:hAnsi="Tahoma" w:cs="Tahoma"/>
          <w:b/>
          <w:bCs/>
          <w:lang w:eastAsia="es-ES"/>
        </w:rPr>
        <w:t>“</w:t>
      </w:r>
      <w:r w:rsidR="004C7040" w:rsidRPr="004C7040">
        <w:rPr>
          <w:rFonts w:ascii="Tahoma" w:eastAsia="Times New Roman" w:hAnsi="Tahoma" w:cs="Tahoma"/>
          <w:b/>
          <w:bCs/>
          <w:iCs/>
          <w:lang w:eastAsia="es-ES"/>
        </w:rPr>
        <w:t>ADQUISICIÓN DE PRODUCTOS QUIMICOS PARA LIMPIEZA DE ALBERCA DEL CONSEJO MUNICIPAL DEL DEPORTE (COMUDE) DE TLAJOMULCO DE ZÚÑIGA, JALISCO.</w:t>
      </w:r>
      <w:r w:rsidR="004C7040">
        <w:rPr>
          <w:rFonts w:ascii="Tahoma" w:eastAsia="Times New Roman" w:hAnsi="Tahoma" w:cs="Tahoma"/>
          <w:b/>
          <w:bCs/>
          <w:iCs/>
          <w:lang w:eastAsia="es-ES"/>
        </w:rPr>
        <w:t>”</w:t>
      </w:r>
    </w:p>
    <w:bookmarkEnd w:id="0"/>
    <w:bookmarkEnd w:id="1"/>
    <w:bookmarkEnd w:id="2"/>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3" w:name="_Hlk181781580"/>
      <w:r w:rsidRPr="00522C2D">
        <w:rPr>
          <w:rFonts w:ascii="Arial" w:eastAsia="Times New Roman" w:hAnsi="Arial" w:cs="Arial"/>
          <w:kern w:val="0"/>
          <w:szCs w:val="20"/>
          <w:lang w:eastAsia="es-MX"/>
          <w14:ligatures w14:val="none"/>
        </w:rPr>
        <w:t>calle Constitución Oriente no. 157, Int. B, en el Municipio d</w:t>
      </w:r>
      <w:bookmarkStart w:id="4" w:name="_Hlk182046638"/>
      <w:r w:rsidRPr="00522C2D">
        <w:rPr>
          <w:rFonts w:ascii="Arial" w:eastAsia="Times New Roman" w:hAnsi="Arial" w:cs="Arial"/>
          <w:kern w:val="0"/>
          <w:szCs w:val="20"/>
          <w:lang w:eastAsia="es-MX"/>
          <w14:ligatures w14:val="none"/>
        </w:rPr>
        <w:t>e Tlajomulco de Zúñiga, Jalisco</w:t>
      </w:r>
      <w:bookmarkEnd w:id="4"/>
      <w:r w:rsidRPr="00522C2D">
        <w:rPr>
          <w:rFonts w:ascii="Arial" w:eastAsia="Times New Roman" w:hAnsi="Arial" w:cs="Arial"/>
          <w:kern w:val="0"/>
          <w:szCs w:val="20"/>
          <w:lang w:eastAsia="es-MX"/>
          <w14:ligatures w14:val="none"/>
        </w:rPr>
        <w:t xml:space="preserve">, </w:t>
      </w:r>
      <w:bookmarkEnd w:id="3"/>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1B8903A6"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522C2D" w:rsidRDefault="00522C2D" w:rsidP="00522C2D">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49709C47"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59E4BC4E"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ED4B756" w14:textId="4C812879"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202</w:t>
            </w:r>
            <w:r w:rsidR="008D5E73">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78FC19ED" w14:textId="2F9882DA" w:rsidR="00522C2D" w:rsidRPr="00522C2D" w:rsidRDefault="006C072A" w:rsidP="00522C2D">
            <w:pPr>
              <w:jc w:val="both"/>
              <w:rPr>
                <w:rFonts w:ascii="Arial" w:eastAsia="Calibri" w:hAnsi="Arial" w:cs="Arial"/>
                <w:lang w:eastAsia="es-ES"/>
              </w:rPr>
            </w:pPr>
            <w:r>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4C27F01D" w14:textId="72908399" w:rsidR="00522C2D" w:rsidRPr="00522C2D" w:rsidRDefault="00522C2D" w:rsidP="00522C2D">
            <w:pPr>
              <w:jc w:val="both"/>
              <w:rPr>
                <w:rFonts w:ascii="Arial" w:eastAsia="Calibri" w:hAnsi="Arial" w:cs="Arial"/>
                <w:b/>
                <w:lang w:eastAsia="es-ES"/>
              </w:rPr>
            </w:pPr>
            <w:r w:rsidRPr="00522C2D">
              <w:rPr>
                <w:rFonts w:ascii="Arial" w:eastAsia="Calibri" w:hAnsi="Arial" w:cs="Arial"/>
                <w:b/>
                <w:lang w:eastAsia="es-ES"/>
              </w:rPr>
              <w:t xml:space="preserve">Se adjudicará a </w:t>
            </w:r>
            <w:r w:rsidR="00980163">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3062BF29" w14:textId="08FA4CD2" w:rsidR="00522C2D" w:rsidRPr="00522C2D" w:rsidRDefault="00604A00" w:rsidP="00522C2D">
            <w:pPr>
              <w:jc w:val="both"/>
              <w:rPr>
                <w:rFonts w:ascii="Arial" w:eastAsia="Calibri" w:hAnsi="Arial" w:cs="Arial"/>
                <w:lang w:eastAsia="es-ES"/>
              </w:rPr>
            </w:pPr>
            <w:r>
              <w:rPr>
                <w:rFonts w:ascii="Arial" w:eastAsia="Calibri" w:hAnsi="Arial" w:cs="Arial"/>
                <w:lang w:eastAsia="es-ES"/>
              </w:rPr>
              <w:t>2591</w:t>
            </w:r>
          </w:p>
        </w:tc>
      </w:tr>
      <w:tr w:rsidR="00522C2D" w:rsidRPr="00522C2D" w14:paraId="60D538EF" w14:textId="77777777" w:rsidTr="000E3235">
        <w:tc>
          <w:tcPr>
            <w:tcW w:w="4390" w:type="dxa"/>
          </w:tcPr>
          <w:p w14:paraId="289057F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448C98F8"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Binario</w:t>
            </w:r>
          </w:p>
        </w:tc>
      </w:tr>
      <w:tr w:rsidR="00793867" w:rsidRPr="00522C2D" w14:paraId="673A973B" w14:textId="77777777" w:rsidTr="006D2D48">
        <w:tc>
          <w:tcPr>
            <w:tcW w:w="4390" w:type="dxa"/>
          </w:tcPr>
          <w:p w14:paraId="6EF616AB" w14:textId="77777777" w:rsidR="00793867" w:rsidRPr="00522C2D" w:rsidRDefault="00793867" w:rsidP="00793867">
            <w:pPr>
              <w:jc w:val="both"/>
              <w:rPr>
                <w:rFonts w:ascii="Arial" w:eastAsia="Calibri" w:hAnsi="Arial" w:cs="Arial"/>
              </w:rPr>
            </w:pPr>
            <w:r w:rsidRPr="00522C2D">
              <w:rPr>
                <w:rFonts w:ascii="Arial" w:eastAsia="Calibri" w:hAnsi="Arial" w:cs="Arial"/>
              </w:rPr>
              <w:t>Fecha de Publicación</w:t>
            </w:r>
          </w:p>
        </w:tc>
        <w:tc>
          <w:tcPr>
            <w:tcW w:w="4677" w:type="dxa"/>
            <w:tcBorders>
              <w:top w:val="single" w:sz="4" w:space="0" w:color="auto"/>
              <w:left w:val="single" w:sz="4" w:space="0" w:color="auto"/>
              <w:bottom w:val="single" w:sz="4" w:space="0" w:color="auto"/>
              <w:right w:val="single" w:sz="4" w:space="0" w:color="auto"/>
            </w:tcBorders>
          </w:tcPr>
          <w:p w14:paraId="71D082E6" w14:textId="49D18729" w:rsidR="00793867" w:rsidRPr="004C7040" w:rsidRDefault="00793867" w:rsidP="00793867">
            <w:pPr>
              <w:spacing w:after="200" w:line="276" w:lineRule="auto"/>
              <w:jc w:val="both"/>
              <w:rPr>
                <w:rFonts w:ascii="Arial" w:eastAsia="Calibri" w:hAnsi="Arial" w:cs="Arial"/>
                <w:b/>
              </w:rPr>
            </w:pPr>
            <w:r>
              <w:rPr>
                <w:rFonts w:ascii="Arial" w:eastAsia="Calibri" w:hAnsi="Arial" w:cs="Arial"/>
                <w:color w:val="000000"/>
              </w:rPr>
              <w:t>1</w:t>
            </w:r>
            <w:r w:rsidR="000F25BF">
              <w:rPr>
                <w:rFonts w:ascii="Arial" w:eastAsia="Calibri" w:hAnsi="Arial" w:cs="Arial"/>
                <w:color w:val="000000"/>
              </w:rPr>
              <w:t>6</w:t>
            </w:r>
            <w:r>
              <w:rPr>
                <w:rFonts w:ascii="Arial" w:eastAsia="Calibri" w:hAnsi="Arial" w:cs="Arial"/>
                <w:color w:val="000000"/>
              </w:rPr>
              <w:t xml:space="preserve"> de </w:t>
            </w:r>
            <w:r w:rsidR="000F25BF">
              <w:rPr>
                <w:rFonts w:ascii="Arial" w:eastAsia="Calibri" w:hAnsi="Arial" w:cs="Arial"/>
                <w:color w:val="000000"/>
              </w:rPr>
              <w:t>enero</w:t>
            </w:r>
            <w:r>
              <w:rPr>
                <w:rFonts w:ascii="Arial" w:eastAsia="Calibri" w:hAnsi="Arial" w:cs="Arial"/>
                <w:color w:val="000000"/>
              </w:rPr>
              <w:t xml:space="preserve"> del 202</w:t>
            </w:r>
            <w:r w:rsidR="00375329">
              <w:rPr>
                <w:rFonts w:ascii="Arial" w:eastAsia="Calibri" w:hAnsi="Arial" w:cs="Arial"/>
                <w:color w:val="000000"/>
              </w:rPr>
              <w:t>6</w:t>
            </w:r>
          </w:p>
        </w:tc>
      </w:tr>
      <w:tr w:rsidR="00793867" w:rsidRPr="00522C2D" w14:paraId="2ED7C680" w14:textId="77777777" w:rsidTr="006C072A">
        <w:trPr>
          <w:trHeight w:val="681"/>
        </w:trPr>
        <w:tc>
          <w:tcPr>
            <w:tcW w:w="4390" w:type="dxa"/>
          </w:tcPr>
          <w:p w14:paraId="4DC89F01" w14:textId="5FAD353B" w:rsidR="00793867" w:rsidRPr="00522C2D" w:rsidRDefault="0039692A" w:rsidP="00793867">
            <w:pPr>
              <w:jc w:val="both"/>
              <w:rPr>
                <w:rFonts w:ascii="Arial" w:eastAsia="Calibri" w:hAnsi="Arial" w:cs="Arial"/>
              </w:rPr>
            </w:pPr>
            <w:r>
              <w:rPr>
                <w:rFonts w:ascii="Arial" w:eastAsia="Calibri" w:hAnsi="Arial" w:cs="Arial"/>
              </w:rPr>
              <w:t>Aclaraciones</w:t>
            </w:r>
          </w:p>
        </w:tc>
        <w:tc>
          <w:tcPr>
            <w:tcW w:w="4677" w:type="dxa"/>
            <w:tcBorders>
              <w:top w:val="single" w:sz="4" w:space="0" w:color="auto"/>
              <w:left w:val="single" w:sz="4" w:space="0" w:color="auto"/>
              <w:bottom w:val="single" w:sz="4" w:space="0" w:color="auto"/>
              <w:right w:val="single" w:sz="4" w:space="0" w:color="auto"/>
            </w:tcBorders>
          </w:tcPr>
          <w:p w14:paraId="2488CAC6" w14:textId="1CF6EB31" w:rsidR="00793867" w:rsidRPr="004C7040" w:rsidRDefault="0039692A" w:rsidP="00793867">
            <w:pPr>
              <w:spacing w:after="200"/>
              <w:rPr>
                <w:rFonts w:ascii="Arial" w:eastAsia="Calibri" w:hAnsi="Arial" w:cs="Arial"/>
              </w:rPr>
            </w:pPr>
            <w:r>
              <w:rPr>
                <w:rFonts w:ascii="Arial" w:hAnsi="Arial" w:cs="Arial"/>
              </w:rPr>
              <w:t>Al teléfono 01 (33) 32834400 Ext. 3263 o al correo electrónico: comprascomude</w:t>
            </w:r>
            <w:r w:rsidRPr="0039692A">
              <w:rPr>
                <w:rFonts w:ascii="Arial" w:hAnsi="Arial" w:cs="Arial"/>
              </w:rPr>
              <w:t>@</w:t>
            </w:r>
            <w:r>
              <w:rPr>
                <w:rFonts w:ascii="Arial" w:hAnsi="Arial" w:cs="Arial"/>
              </w:rPr>
              <w:t>tlajomulco.gob.mc</w:t>
            </w:r>
            <w:r w:rsidR="00793867">
              <w:rPr>
                <w:rFonts w:ascii="Arial" w:hAnsi="Arial" w:cs="Arial"/>
              </w:rPr>
              <w:t xml:space="preserve"> </w:t>
            </w:r>
          </w:p>
        </w:tc>
      </w:tr>
      <w:tr w:rsidR="00793867" w:rsidRPr="00522C2D" w14:paraId="787A906B" w14:textId="77777777" w:rsidTr="006D2D48">
        <w:trPr>
          <w:trHeight w:val="1442"/>
        </w:trPr>
        <w:tc>
          <w:tcPr>
            <w:tcW w:w="4390" w:type="dxa"/>
          </w:tcPr>
          <w:p w14:paraId="26E6FBA9" w14:textId="77777777" w:rsidR="00793867" w:rsidRPr="00522C2D" w:rsidRDefault="00793867" w:rsidP="00793867">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06515019" w14:textId="63A3D7DB" w:rsidR="00793867" w:rsidRPr="004C7040" w:rsidRDefault="00793867" w:rsidP="00793867">
            <w:pPr>
              <w:spacing w:after="200"/>
              <w:jc w:val="both"/>
              <w:rPr>
                <w:rFonts w:ascii="Arial" w:eastAsia="Calibri" w:hAnsi="Arial" w:cs="Arial"/>
                <w:color w:val="000000"/>
              </w:rPr>
            </w:pPr>
            <w:r>
              <w:rPr>
                <w:rFonts w:ascii="Arial" w:eastAsia="Calibri" w:hAnsi="Arial" w:cs="Arial"/>
                <w:color w:val="000000"/>
              </w:rPr>
              <w:t>2</w:t>
            </w:r>
            <w:r w:rsidR="00505687">
              <w:rPr>
                <w:rFonts w:ascii="Arial" w:eastAsia="Calibri" w:hAnsi="Arial" w:cs="Arial"/>
                <w:color w:val="000000"/>
              </w:rPr>
              <w:t>6</w:t>
            </w:r>
            <w:r>
              <w:rPr>
                <w:rFonts w:ascii="Arial" w:eastAsia="Calibri" w:hAnsi="Arial" w:cs="Arial"/>
                <w:color w:val="000000"/>
              </w:rPr>
              <w:t xml:space="preserve"> de </w:t>
            </w:r>
            <w:r w:rsidR="00505687">
              <w:rPr>
                <w:rFonts w:ascii="Arial" w:eastAsia="Calibri" w:hAnsi="Arial" w:cs="Arial"/>
                <w:color w:val="000000"/>
              </w:rPr>
              <w:t>enero</w:t>
            </w:r>
            <w:r>
              <w:rPr>
                <w:rFonts w:ascii="Arial" w:eastAsia="Calibri" w:hAnsi="Arial" w:cs="Arial"/>
                <w:color w:val="000000"/>
              </w:rPr>
              <w:t xml:space="preserve"> del 202</w:t>
            </w:r>
            <w:r w:rsidR="00505687">
              <w:rPr>
                <w:rFonts w:ascii="Arial" w:eastAsia="Calibri" w:hAnsi="Arial" w:cs="Arial"/>
                <w:color w:val="000000"/>
              </w:rPr>
              <w:t>6</w:t>
            </w:r>
            <w:r>
              <w:rPr>
                <w:rFonts w:ascii="Arial" w:eastAsia="Calibri" w:hAnsi="Arial" w:cs="Arial"/>
                <w:color w:val="000000"/>
              </w:rPr>
              <w:t xml:space="preserve"> a las </w:t>
            </w:r>
            <w:r>
              <w:rPr>
                <w:rFonts w:ascii="Arial" w:eastAsia="Calibri" w:hAnsi="Arial" w:cs="Arial"/>
              </w:rPr>
              <w:t xml:space="preserve">13:00 horas, Oficinas del Órgano de Control Interno de Tlajomulco de Zúñiga, ubicado en calle </w:t>
            </w:r>
            <w:r w:rsidR="00505687">
              <w:rPr>
                <w:rFonts w:ascii="Arial" w:eastAsia="Calibri" w:hAnsi="Arial" w:cs="Arial"/>
              </w:rPr>
              <w:t>Vallarta poniente</w:t>
            </w:r>
            <w:r>
              <w:rPr>
                <w:rFonts w:ascii="Arial" w:eastAsia="Calibri" w:hAnsi="Arial" w:cs="Arial"/>
              </w:rPr>
              <w:t xml:space="preserve"> #</w:t>
            </w:r>
            <w:r w:rsidR="00505687">
              <w:rPr>
                <w:rFonts w:ascii="Arial" w:eastAsia="Calibri" w:hAnsi="Arial" w:cs="Arial"/>
              </w:rPr>
              <w:t>59</w:t>
            </w:r>
            <w:r>
              <w:rPr>
                <w:rFonts w:ascii="Arial" w:eastAsia="Calibri" w:hAnsi="Arial" w:cs="Arial"/>
              </w:rPr>
              <w:t>, colonia centro, en Tlajomulco de Zúñiga, Jalisco.</w:t>
            </w:r>
          </w:p>
        </w:tc>
      </w:tr>
      <w:tr w:rsidR="00793867" w:rsidRPr="00522C2D" w14:paraId="189755C7" w14:textId="77777777" w:rsidTr="006D2D48">
        <w:trPr>
          <w:trHeight w:val="1233"/>
        </w:trPr>
        <w:tc>
          <w:tcPr>
            <w:tcW w:w="4390" w:type="dxa"/>
          </w:tcPr>
          <w:p w14:paraId="110341B3" w14:textId="77777777" w:rsidR="00793867" w:rsidRPr="00522C2D" w:rsidRDefault="00793867" w:rsidP="00793867">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44FC2800" w14:textId="1071BC92" w:rsidR="00793867" w:rsidRPr="004C7040" w:rsidRDefault="002427E1" w:rsidP="00793867">
            <w:pPr>
              <w:spacing w:after="200"/>
              <w:jc w:val="both"/>
              <w:rPr>
                <w:rFonts w:ascii="Arial" w:eastAsia="Calibri" w:hAnsi="Arial" w:cs="Arial"/>
                <w:color w:val="000000"/>
              </w:rPr>
            </w:pPr>
            <w:r>
              <w:rPr>
                <w:rFonts w:ascii="Arial" w:eastAsia="Calibri" w:hAnsi="Arial" w:cs="Arial"/>
                <w:color w:val="000000"/>
              </w:rPr>
              <w:t>26</w:t>
            </w:r>
            <w:r w:rsidR="00793867">
              <w:rPr>
                <w:rFonts w:ascii="Arial" w:eastAsia="Calibri" w:hAnsi="Arial" w:cs="Arial"/>
                <w:color w:val="000000"/>
              </w:rPr>
              <w:t xml:space="preserve"> de </w:t>
            </w:r>
            <w:r w:rsidR="00505687">
              <w:rPr>
                <w:rFonts w:ascii="Arial" w:eastAsia="Calibri" w:hAnsi="Arial" w:cs="Arial"/>
                <w:color w:val="000000"/>
              </w:rPr>
              <w:t>enero</w:t>
            </w:r>
            <w:r w:rsidR="00793867">
              <w:rPr>
                <w:rFonts w:ascii="Arial" w:eastAsia="Calibri" w:hAnsi="Arial" w:cs="Arial"/>
                <w:color w:val="000000"/>
              </w:rPr>
              <w:t xml:space="preserve"> del 202</w:t>
            </w:r>
            <w:r w:rsidR="00505687">
              <w:rPr>
                <w:rFonts w:ascii="Arial" w:eastAsia="Calibri" w:hAnsi="Arial" w:cs="Arial"/>
                <w:color w:val="000000"/>
              </w:rPr>
              <w:t>6</w:t>
            </w:r>
            <w:r w:rsidR="00793867">
              <w:rPr>
                <w:rFonts w:ascii="Arial" w:eastAsia="Calibri" w:hAnsi="Arial" w:cs="Arial"/>
                <w:color w:val="000000"/>
              </w:rPr>
              <w:t xml:space="preserve">, a las </w:t>
            </w:r>
            <w:r w:rsidR="00793867">
              <w:rPr>
                <w:rFonts w:ascii="Arial" w:eastAsia="Calibri" w:hAnsi="Arial" w:cs="Arial"/>
              </w:rPr>
              <w:t xml:space="preserve">13:10 horas, Oficinas del Órgano de Control Interno de Tlajomulco de Zúñiga, ubicado en calle </w:t>
            </w:r>
            <w:r>
              <w:rPr>
                <w:rFonts w:ascii="Arial" w:eastAsia="Calibri" w:hAnsi="Arial" w:cs="Arial"/>
              </w:rPr>
              <w:t>Vallarta</w:t>
            </w:r>
            <w:r w:rsidR="00793867">
              <w:rPr>
                <w:rFonts w:ascii="Arial" w:eastAsia="Calibri" w:hAnsi="Arial" w:cs="Arial"/>
              </w:rPr>
              <w:t xml:space="preserve"> #</w:t>
            </w:r>
            <w:r>
              <w:rPr>
                <w:rFonts w:ascii="Arial" w:eastAsia="Calibri" w:hAnsi="Arial" w:cs="Arial"/>
              </w:rPr>
              <w:t>59 poniente</w:t>
            </w:r>
            <w:r w:rsidR="00793867">
              <w:rPr>
                <w:rFonts w:ascii="Arial" w:eastAsia="Calibri" w:hAnsi="Arial" w:cs="Arial"/>
              </w:rPr>
              <w:t>,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400C8149"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77777777" w:rsidR="00522C2D" w:rsidRPr="00522C2D" w:rsidRDefault="00522C2D" w:rsidP="00522C2D">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5DE52553" w14:textId="32DCC198" w:rsidR="00522C2D" w:rsidRPr="00522C2D" w:rsidRDefault="00522C2D" w:rsidP="00522C2D">
            <w:pPr>
              <w:rPr>
                <w:rFonts w:ascii="Arial" w:eastAsia="Calibri" w:hAnsi="Arial" w:cs="Arial"/>
              </w:rPr>
            </w:pPr>
            <w:r w:rsidRPr="00522C2D">
              <w:rPr>
                <w:rFonts w:ascii="Arial" w:eastAsia="Calibri" w:hAnsi="Arial" w:cs="Arial"/>
              </w:rPr>
              <w:t xml:space="preserve">Calle </w:t>
            </w:r>
            <w:r w:rsidR="002427E1">
              <w:rPr>
                <w:rFonts w:ascii="Arial" w:eastAsia="Calibri" w:hAnsi="Arial" w:cs="Arial"/>
              </w:rPr>
              <w:t>Vallarta</w:t>
            </w:r>
            <w:r w:rsidRPr="00522C2D">
              <w:rPr>
                <w:rFonts w:ascii="Arial" w:eastAsia="Calibri" w:hAnsi="Arial" w:cs="Arial"/>
              </w:rPr>
              <w:t xml:space="preserve"> #</w:t>
            </w:r>
            <w:r w:rsidR="002427E1">
              <w:rPr>
                <w:rFonts w:ascii="Arial" w:eastAsia="Calibri" w:hAnsi="Arial" w:cs="Arial"/>
              </w:rPr>
              <w:t>59</w:t>
            </w:r>
            <w:r w:rsidRPr="00522C2D">
              <w:rPr>
                <w:rFonts w:ascii="Arial" w:eastAsia="Calibri" w:hAnsi="Arial" w:cs="Arial"/>
              </w:rPr>
              <w:t xml:space="preserve"> </w:t>
            </w:r>
            <w:r w:rsidR="002427E1">
              <w:rPr>
                <w:rFonts w:ascii="Arial" w:eastAsia="Calibri" w:hAnsi="Arial" w:cs="Arial"/>
              </w:rPr>
              <w:t>poniente</w:t>
            </w:r>
            <w:r w:rsidRPr="00522C2D">
              <w:rPr>
                <w:rFonts w:ascii="Arial" w:eastAsia="Calibri" w:hAnsi="Arial" w:cs="Arial"/>
              </w:rPr>
              <w:t>, colonia centro en Tlajomulco de Zúñiga, Jalisco.</w:t>
            </w:r>
          </w:p>
        </w:tc>
      </w:tr>
    </w:tbl>
    <w:p w14:paraId="35B7F7A8" w14:textId="7EF112F8" w:rsidR="00835BE8" w:rsidRPr="00C75832" w:rsidRDefault="007D51EB" w:rsidP="007D51EB">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p w14:paraId="4110A6BB" w14:textId="1AD54C29" w:rsidR="00445078" w:rsidRDefault="00445078" w:rsidP="00522C2D">
      <w:pPr>
        <w:spacing w:after="0" w:line="240" w:lineRule="auto"/>
        <w:jc w:val="both"/>
        <w:rPr>
          <w:rFonts w:ascii="Calibri" w:eastAsia="Times New Roman" w:hAnsi="Calibri" w:cs="Times New Roman"/>
          <w:b/>
          <w:kern w:val="0"/>
          <w:lang w:eastAsia="es-MX"/>
          <w14:ligatures w14:val="none"/>
        </w:rPr>
      </w:pPr>
    </w:p>
    <w:tbl>
      <w:tblPr>
        <w:tblStyle w:val="Tablaconcuadrcula"/>
        <w:tblW w:w="9648" w:type="dxa"/>
        <w:tblInd w:w="-661" w:type="dxa"/>
        <w:tblLook w:val="04A0" w:firstRow="1" w:lastRow="0" w:firstColumn="1" w:lastColumn="0" w:noHBand="0" w:noVBand="1"/>
      </w:tblPr>
      <w:tblGrid>
        <w:gridCol w:w="1111"/>
        <w:gridCol w:w="6349"/>
        <w:gridCol w:w="1295"/>
        <w:gridCol w:w="893"/>
      </w:tblGrid>
      <w:tr w:rsidR="00940774" w:rsidRPr="00B12C9B" w14:paraId="1CA73823" w14:textId="77777777" w:rsidTr="00271439">
        <w:trPr>
          <w:trHeight w:val="240"/>
        </w:trPr>
        <w:tc>
          <w:tcPr>
            <w:tcW w:w="1111" w:type="dxa"/>
            <w:shd w:val="clear" w:color="auto" w:fill="000000" w:themeFill="text1"/>
            <w:noWrap/>
          </w:tcPr>
          <w:p w14:paraId="5BB19DEF" w14:textId="77777777" w:rsidR="00940774" w:rsidRPr="00210035" w:rsidRDefault="00940774" w:rsidP="00271439">
            <w:pPr>
              <w:jc w:val="center"/>
              <w:rPr>
                <w:rFonts w:ascii="Verdana" w:hAnsi="Verdana"/>
                <w:sz w:val="20"/>
                <w:szCs w:val="20"/>
              </w:rPr>
            </w:pPr>
            <w:bookmarkStart w:id="5" w:name="_Hlk192163617"/>
            <w:r w:rsidRPr="00210035">
              <w:rPr>
                <w:rFonts w:ascii="Verdana" w:hAnsi="Verdana"/>
                <w:sz w:val="20"/>
                <w:szCs w:val="20"/>
              </w:rPr>
              <w:t>PARTIDA</w:t>
            </w:r>
          </w:p>
        </w:tc>
        <w:tc>
          <w:tcPr>
            <w:tcW w:w="6349" w:type="dxa"/>
            <w:tcBorders>
              <w:top w:val="nil"/>
            </w:tcBorders>
            <w:shd w:val="clear" w:color="auto" w:fill="000000" w:themeFill="text1"/>
            <w:noWrap/>
          </w:tcPr>
          <w:p w14:paraId="4804B769" w14:textId="77777777" w:rsidR="00940774" w:rsidRPr="00210035" w:rsidRDefault="00940774" w:rsidP="00271439">
            <w:pPr>
              <w:pStyle w:val="TableParagraph"/>
              <w:spacing w:before="11"/>
              <w:rPr>
                <w:rFonts w:ascii="Verdana" w:hAnsi="Verdana"/>
                <w:sz w:val="20"/>
                <w:szCs w:val="20"/>
              </w:rPr>
            </w:pPr>
            <w:r w:rsidRPr="00210035">
              <w:rPr>
                <w:rFonts w:ascii="Verdana" w:hAnsi="Verdana"/>
                <w:sz w:val="20"/>
                <w:szCs w:val="20"/>
              </w:rPr>
              <w:t>DESCRIPCION</w:t>
            </w:r>
          </w:p>
        </w:tc>
        <w:tc>
          <w:tcPr>
            <w:tcW w:w="1295" w:type="dxa"/>
            <w:shd w:val="clear" w:color="auto" w:fill="000000" w:themeFill="text1"/>
            <w:noWrap/>
          </w:tcPr>
          <w:p w14:paraId="77FD0BF6" w14:textId="77777777" w:rsidR="00940774" w:rsidRPr="00210035" w:rsidRDefault="00940774" w:rsidP="00271439">
            <w:pPr>
              <w:jc w:val="center"/>
              <w:rPr>
                <w:rFonts w:ascii="Verdana" w:hAnsi="Verdana"/>
                <w:sz w:val="20"/>
                <w:szCs w:val="20"/>
              </w:rPr>
            </w:pPr>
            <w:r w:rsidRPr="00210035">
              <w:rPr>
                <w:rFonts w:ascii="Verdana" w:hAnsi="Verdana"/>
                <w:sz w:val="20"/>
                <w:szCs w:val="20"/>
              </w:rPr>
              <w:t>CANTIDAD</w:t>
            </w:r>
          </w:p>
        </w:tc>
        <w:tc>
          <w:tcPr>
            <w:tcW w:w="893" w:type="dxa"/>
            <w:shd w:val="clear" w:color="auto" w:fill="000000" w:themeFill="text1"/>
          </w:tcPr>
          <w:p w14:paraId="41C0CDE2" w14:textId="77777777" w:rsidR="00940774" w:rsidRPr="00210035" w:rsidRDefault="00940774" w:rsidP="00271439">
            <w:pPr>
              <w:jc w:val="center"/>
              <w:rPr>
                <w:rFonts w:ascii="Verdana" w:hAnsi="Verdana"/>
                <w:sz w:val="20"/>
                <w:szCs w:val="20"/>
              </w:rPr>
            </w:pPr>
            <w:r w:rsidRPr="00210035">
              <w:rPr>
                <w:rFonts w:ascii="Verdana" w:hAnsi="Verdana"/>
                <w:sz w:val="20"/>
                <w:szCs w:val="20"/>
              </w:rPr>
              <w:t>U/M</w:t>
            </w:r>
          </w:p>
        </w:tc>
      </w:tr>
      <w:tr w:rsidR="00306858" w:rsidRPr="00B12C9B" w14:paraId="61F66023" w14:textId="77777777" w:rsidTr="003E26D0">
        <w:trPr>
          <w:trHeight w:val="1069"/>
        </w:trPr>
        <w:tc>
          <w:tcPr>
            <w:tcW w:w="1111" w:type="dxa"/>
            <w:noWrap/>
          </w:tcPr>
          <w:p w14:paraId="562152CE" w14:textId="77777777" w:rsidR="00306858" w:rsidRDefault="00306858" w:rsidP="00306858">
            <w:pPr>
              <w:pStyle w:val="Sinespaciado"/>
            </w:pPr>
          </w:p>
          <w:p w14:paraId="57729C99" w14:textId="77777777" w:rsidR="00306858" w:rsidRDefault="00306858" w:rsidP="00306858">
            <w:pPr>
              <w:pStyle w:val="Sinespaciado"/>
            </w:pPr>
          </w:p>
          <w:p w14:paraId="62EE8BC5" w14:textId="77777777" w:rsidR="00306858" w:rsidRDefault="00306858" w:rsidP="00306858">
            <w:pPr>
              <w:pStyle w:val="Sinespaciado"/>
              <w:jc w:val="center"/>
            </w:pPr>
          </w:p>
          <w:p w14:paraId="7474FDDF" w14:textId="77777777" w:rsidR="00306858" w:rsidRDefault="00306858" w:rsidP="00306858">
            <w:pPr>
              <w:pStyle w:val="Sinespaciado"/>
              <w:jc w:val="center"/>
            </w:pPr>
            <w:r w:rsidRPr="00210035">
              <w:t>1</w:t>
            </w:r>
          </w:p>
          <w:p w14:paraId="473C5723" w14:textId="77777777" w:rsidR="00306858" w:rsidRPr="00994CAB" w:rsidRDefault="00306858" w:rsidP="00306858">
            <w:pPr>
              <w:pStyle w:val="Sinespaciado"/>
              <w:jc w:val="center"/>
            </w:pPr>
          </w:p>
        </w:tc>
        <w:tc>
          <w:tcPr>
            <w:tcW w:w="6349" w:type="dxa"/>
            <w:tcBorders>
              <w:top w:val="nil"/>
              <w:left w:val="nil"/>
              <w:bottom w:val="single" w:sz="8" w:space="0" w:color="auto"/>
              <w:right w:val="single" w:sz="8" w:space="0" w:color="auto"/>
            </w:tcBorders>
            <w:noWrap/>
            <w:vAlign w:val="center"/>
          </w:tcPr>
          <w:p w14:paraId="70E7AEC1" w14:textId="77777777" w:rsidR="00306858" w:rsidRPr="00994CAB" w:rsidRDefault="00306858" w:rsidP="00306858">
            <w:pPr>
              <w:pStyle w:val="Sinespaciado"/>
              <w:jc w:val="center"/>
              <w:rPr>
                <w:rFonts w:ascii="Arial" w:eastAsia="Times New Roman" w:hAnsi="Arial" w:cs="Arial"/>
                <w:color w:val="000000"/>
                <w:sz w:val="19"/>
                <w:szCs w:val="19"/>
                <w:lang w:eastAsia="es-MX"/>
              </w:rPr>
            </w:pPr>
            <w:r w:rsidRPr="004E0411">
              <w:rPr>
                <w:rFonts w:ascii="Arial" w:eastAsia="Times New Roman" w:hAnsi="Arial" w:cs="Arial"/>
                <w:b/>
                <w:bCs/>
                <w:color w:val="000000"/>
                <w:sz w:val="19"/>
                <w:szCs w:val="19"/>
                <w:lang w:eastAsia="es-MX"/>
              </w:rPr>
              <w:t xml:space="preserve">TRICLORO GRANULAR: </w:t>
            </w:r>
            <w:r w:rsidRPr="004E0411">
              <w:rPr>
                <w:rFonts w:ascii="Arial" w:eastAsia="Times New Roman" w:hAnsi="Arial" w:cs="Arial"/>
                <w:color w:val="000000"/>
                <w:sz w:val="19"/>
                <w:szCs w:val="19"/>
                <w:lang w:eastAsia="es-MX"/>
              </w:rPr>
              <w:t>Que este formulado para disminuir las pérdidas de cloro en el agua debido a los rayos del sol y la temperatura, con características como el hipoclorito de calcio y blanqueadores de cloro líquido. Así mismo que mantenga el PH entre los rangos de 7. a 7.6.</w:t>
            </w:r>
          </w:p>
        </w:tc>
        <w:tc>
          <w:tcPr>
            <w:tcW w:w="1295" w:type="dxa"/>
            <w:noWrap/>
          </w:tcPr>
          <w:p w14:paraId="0328288A" w14:textId="27053629" w:rsidR="00306858" w:rsidRPr="00266F01" w:rsidRDefault="00306858" w:rsidP="00306858">
            <w:pPr>
              <w:pStyle w:val="Sinespaciado"/>
              <w:jc w:val="center"/>
              <w:rPr>
                <w:b/>
                <w:bCs/>
              </w:rPr>
            </w:pPr>
            <w:r>
              <w:rPr>
                <w:rFonts w:ascii="Arial" w:eastAsia="Times New Roman" w:hAnsi="Arial" w:cs="Arial"/>
                <w:color w:val="000000"/>
                <w:sz w:val="18"/>
                <w:szCs w:val="18"/>
                <w:lang w:eastAsia="es-MX"/>
              </w:rPr>
              <w:t>1</w:t>
            </w:r>
            <w:r w:rsidR="002427E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36A7E484" w14:textId="77777777" w:rsidR="00306858" w:rsidRPr="00210035" w:rsidRDefault="00306858" w:rsidP="00306858">
            <w:pPr>
              <w:pStyle w:val="Sinespaciado"/>
              <w:jc w:val="center"/>
            </w:pPr>
            <w:r w:rsidRPr="004E0411">
              <w:rPr>
                <w:rFonts w:ascii="Arial" w:eastAsia="Times New Roman" w:hAnsi="Arial" w:cs="Arial"/>
                <w:b/>
                <w:bCs/>
                <w:color w:val="000000"/>
                <w:sz w:val="19"/>
                <w:szCs w:val="19"/>
                <w:lang w:eastAsia="es-MX"/>
              </w:rPr>
              <w:t>Envase (50 KG)</w:t>
            </w:r>
          </w:p>
        </w:tc>
      </w:tr>
      <w:tr w:rsidR="00306858" w:rsidRPr="00B12C9B" w14:paraId="25781E98" w14:textId="77777777" w:rsidTr="003E26D0">
        <w:trPr>
          <w:trHeight w:val="240"/>
        </w:trPr>
        <w:tc>
          <w:tcPr>
            <w:tcW w:w="1111" w:type="dxa"/>
            <w:noWrap/>
          </w:tcPr>
          <w:p w14:paraId="43D31ACC" w14:textId="77777777" w:rsidR="00306858" w:rsidRDefault="00306858" w:rsidP="00306858">
            <w:pPr>
              <w:jc w:val="center"/>
              <w:rPr>
                <w:rFonts w:ascii="Verdana" w:hAnsi="Verdana"/>
                <w:sz w:val="20"/>
                <w:szCs w:val="20"/>
              </w:rPr>
            </w:pPr>
          </w:p>
          <w:p w14:paraId="14B7D629" w14:textId="77777777" w:rsidR="00306858" w:rsidRDefault="00306858" w:rsidP="00306858">
            <w:pPr>
              <w:jc w:val="center"/>
              <w:rPr>
                <w:rFonts w:ascii="Verdana" w:hAnsi="Verdana"/>
                <w:sz w:val="20"/>
                <w:szCs w:val="20"/>
              </w:rPr>
            </w:pPr>
          </w:p>
          <w:p w14:paraId="6B9F9266" w14:textId="77777777" w:rsidR="00306858" w:rsidRDefault="00306858" w:rsidP="00306858">
            <w:pPr>
              <w:jc w:val="center"/>
              <w:rPr>
                <w:rFonts w:ascii="Verdana" w:hAnsi="Verdana"/>
                <w:sz w:val="20"/>
                <w:szCs w:val="20"/>
              </w:rPr>
            </w:pPr>
            <w:r>
              <w:rPr>
                <w:rFonts w:ascii="Verdana" w:hAnsi="Verdana"/>
                <w:sz w:val="20"/>
                <w:szCs w:val="20"/>
              </w:rPr>
              <w:t>2</w:t>
            </w:r>
          </w:p>
        </w:tc>
        <w:tc>
          <w:tcPr>
            <w:tcW w:w="6349" w:type="dxa"/>
            <w:tcBorders>
              <w:top w:val="nil"/>
              <w:left w:val="nil"/>
              <w:bottom w:val="single" w:sz="8" w:space="0" w:color="auto"/>
              <w:right w:val="single" w:sz="8" w:space="0" w:color="auto"/>
            </w:tcBorders>
            <w:noWrap/>
            <w:vAlign w:val="center"/>
          </w:tcPr>
          <w:p w14:paraId="63C03309" w14:textId="77777777" w:rsidR="00306858" w:rsidRPr="00E22090" w:rsidRDefault="00306858" w:rsidP="00306858">
            <w:pPr>
              <w:jc w:val="center"/>
              <w:rPr>
                <w:rFonts w:ascii="Tahoma" w:hAnsi="Tahoma" w:cs="Tahoma"/>
                <w:sz w:val="20"/>
                <w:szCs w:val="20"/>
              </w:rPr>
            </w:pPr>
            <w:r w:rsidRPr="004E0411">
              <w:rPr>
                <w:rFonts w:ascii="Arial" w:eastAsia="Times New Roman" w:hAnsi="Arial" w:cs="Arial"/>
                <w:b/>
                <w:bCs/>
                <w:color w:val="000000"/>
                <w:sz w:val="19"/>
                <w:szCs w:val="19"/>
                <w:lang w:eastAsia="es-MX"/>
              </w:rPr>
              <w:t>CLARIFICADOR:</w:t>
            </w:r>
            <w:r w:rsidRPr="004E0411">
              <w:rPr>
                <w:rFonts w:ascii="Arial" w:eastAsia="Times New Roman" w:hAnsi="Arial" w:cs="Arial"/>
                <w:color w:val="000000"/>
                <w:sz w:val="19"/>
                <w:szCs w:val="19"/>
                <w:lang w:eastAsia="es-MX"/>
              </w:rPr>
              <w:t xml:space="preserve"> Para aclarar agua turbia por contaminantes en suspensión, precipita todas las partículas al fondo de su recinto. Con dosis de aplicación de: 100 ml. p/cada 10,000 litros de agua cundo se tenga una turbidez ligera, 300 mi. picada 10,000 litros si la turbidez es mediana y 500 ml p/cada 10,000 litros si esta esta totalmente turbia y verdosa.</w:t>
            </w:r>
          </w:p>
        </w:tc>
        <w:tc>
          <w:tcPr>
            <w:tcW w:w="1295" w:type="dxa"/>
            <w:noWrap/>
          </w:tcPr>
          <w:p w14:paraId="5F72D455" w14:textId="0765793C" w:rsidR="00306858" w:rsidRPr="00266F01" w:rsidRDefault="00306858" w:rsidP="00306858">
            <w:pPr>
              <w:pStyle w:val="TableParagraph"/>
              <w:spacing w:before="64"/>
              <w:ind w:left="13"/>
              <w:rPr>
                <w:rFonts w:ascii="Tahoma" w:hAnsi="Tahoma" w:cs="Tahoma"/>
                <w:b/>
                <w:bCs/>
                <w:spacing w:val="-5"/>
                <w:w w:val="105"/>
                <w:sz w:val="20"/>
                <w:szCs w:val="20"/>
                <w:lang w:val="es-MX"/>
              </w:rPr>
            </w:pPr>
            <w:r>
              <w:rPr>
                <w:rFonts w:ascii="Arial" w:eastAsia="Times New Roman" w:hAnsi="Arial" w:cs="Arial"/>
                <w:color w:val="000000"/>
                <w:sz w:val="18"/>
                <w:szCs w:val="18"/>
                <w:lang w:eastAsia="es-MX"/>
              </w:rPr>
              <w:t>1</w:t>
            </w:r>
            <w:r w:rsidR="002427E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5348A894" w14:textId="77777777" w:rsidR="00306858" w:rsidRPr="00E22090" w:rsidRDefault="00306858" w:rsidP="00306858">
            <w:pPr>
              <w:pStyle w:val="TableParagraph"/>
              <w:spacing w:before="64"/>
              <w:ind w:left="11"/>
              <w:rPr>
                <w:rFonts w:ascii="Tahoma" w:hAnsi="Tahoma" w:cs="Tahoma"/>
                <w:spacing w:val="-2"/>
                <w:sz w:val="20"/>
                <w:szCs w:val="20"/>
                <w:lang w:val="es-MX"/>
              </w:rPr>
            </w:pPr>
            <w:r w:rsidRPr="004E0411">
              <w:rPr>
                <w:rFonts w:ascii="Arial" w:eastAsia="Times New Roman" w:hAnsi="Arial" w:cs="Arial"/>
                <w:b/>
                <w:bCs/>
                <w:color w:val="000000"/>
                <w:sz w:val="19"/>
                <w:szCs w:val="19"/>
                <w:lang w:eastAsia="es-MX"/>
              </w:rPr>
              <w:t>Envase (50 Lts.)</w:t>
            </w:r>
          </w:p>
        </w:tc>
      </w:tr>
      <w:tr w:rsidR="00306858" w:rsidRPr="00B12C9B" w14:paraId="3E5F227C" w14:textId="77777777" w:rsidTr="003E26D0">
        <w:trPr>
          <w:trHeight w:val="240"/>
        </w:trPr>
        <w:tc>
          <w:tcPr>
            <w:tcW w:w="1111" w:type="dxa"/>
            <w:noWrap/>
          </w:tcPr>
          <w:p w14:paraId="0C3A651E" w14:textId="77777777" w:rsidR="00306858" w:rsidRDefault="00306858" w:rsidP="00306858">
            <w:pPr>
              <w:jc w:val="center"/>
              <w:rPr>
                <w:rFonts w:ascii="Verdana" w:hAnsi="Verdana"/>
                <w:sz w:val="20"/>
                <w:szCs w:val="20"/>
              </w:rPr>
            </w:pPr>
          </w:p>
          <w:p w14:paraId="3745F6B5" w14:textId="77777777" w:rsidR="00306858" w:rsidRDefault="00306858" w:rsidP="00306858">
            <w:pPr>
              <w:jc w:val="center"/>
              <w:rPr>
                <w:rFonts w:ascii="Verdana" w:hAnsi="Verdana"/>
                <w:sz w:val="20"/>
                <w:szCs w:val="20"/>
              </w:rPr>
            </w:pPr>
          </w:p>
          <w:p w14:paraId="12164A2F" w14:textId="77777777" w:rsidR="00306858" w:rsidRDefault="00306858" w:rsidP="00306858">
            <w:pPr>
              <w:jc w:val="center"/>
              <w:rPr>
                <w:rFonts w:ascii="Verdana" w:hAnsi="Verdana"/>
                <w:sz w:val="20"/>
                <w:szCs w:val="20"/>
              </w:rPr>
            </w:pPr>
            <w:r>
              <w:rPr>
                <w:rFonts w:ascii="Verdana" w:hAnsi="Verdana"/>
                <w:sz w:val="20"/>
                <w:szCs w:val="20"/>
              </w:rPr>
              <w:t>3</w:t>
            </w:r>
          </w:p>
        </w:tc>
        <w:tc>
          <w:tcPr>
            <w:tcW w:w="6349" w:type="dxa"/>
            <w:tcBorders>
              <w:top w:val="nil"/>
              <w:left w:val="nil"/>
              <w:bottom w:val="single" w:sz="8" w:space="0" w:color="auto"/>
              <w:right w:val="single" w:sz="8" w:space="0" w:color="auto"/>
            </w:tcBorders>
            <w:noWrap/>
            <w:vAlign w:val="center"/>
          </w:tcPr>
          <w:p w14:paraId="7C28AB09" w14:textId="77777777" w:rsidR="00306858" w:rsidRPr="00E22090" w:rsidRDefault="00306858" w:rsidP="00306858">
            <w:pPr>
              <w:jc w:val="center"/>
              <w:rPr>
                <w:rFonts w:ascii="Tahoma" w:hAnsi="Tahoma" w:cs="Tahoma"/>
                <w:sz w:val="20"/>
                <w:szCs w:val="20"/>
              </w:rPr>
            </w:pPr>
            <w:r w:rsidRPr="004E0411">
              <w:rPr>
                <w:rFonts w:ascii="Arial" w:eastAsia="Times New Roman" w:hAnsi="Arial" w:cs="Arial"/>
                <w:b/>
                <w:bCs/>
                <w:color w:val="000000"/>
                <w:sz w:val="19"/>
                <w:szCs w:val="19"/>
                <w:lang w:eastAsia="es-MX"/>
              </w:rPr>
              <w:t xml:space="preserve">ALGICIDA: </w:t>
            </w:r>
            <w:r w:rsidRPr="004E0411">
              <w:rPr>
                <w:rFonts w:ascii="Arial" w:eastAsia="Times New Roman" w:hAnsi="Arial" w:cs="Arial"/>
                <w:color w:val="000000"/>
                <w:sz w:val="19"/>
                <w:szCs w:val="19"/>
                <w:lang w:eastAsia="es-MX"/>
              </w:rPr>
              <w:t>Que sea elaborado con ingredientes de acción bactericida, fungicida y algicida, que tenga como función principal el prevenir la aparición de todo tipo de algas, hongos y lama en paredes y pisos de piscina. Que no modifique el balance químico de el agua de la piscina y cuente con una formulación permita la permanencia del residual.</w:t>
            </w:r>
          </w:p>
        </w:tc>
        <w:tc>
          <w:tcPr>
            <w:tcW w:w="1295" w:type="dxa"/>
            <w:noWrap/>
          </w:tcPr>
          <w:p w14:paraId="3F3680CA" w14:textId="23ECFCA9" w:rsidR="00306858" w:rsidRPr="00266F01" w:rsidRDefault="00306858" w:rsidP="00306858">
            <w:pPr>
              <w:pStyle w:val="TableParagraph"/>
              <w:spacing w:before="64"/>
              <w:ind w:left="13"/>
              <w:rPr>
                <w:rFonts w:ascii="Tahoma" w:hAnsi="Tahoma" w:cs="Tahoma"/>
                <w:b/>
                <w:bCs/>
                <w:spacing w:val="-5"/>
                <w:w w:val="105"/>
                <w:sz w:val="20"/>
                <w:szCs w:val="20"/>
                <w:lang w:val="es-MX"/>
              </w:rPr>
            </w:pPr>
            <w:r>
              <w:rPr>
                <w:rFonts w:ascii="Arial" w:eastAsia="Times New Roman" w:hAnsi="Arial" w:cs="Arial"/>
                <w:color w:val="000000"/>
                <w:sz w:val="18"/>
                <w:szCs w:val="18"/>
                <w:lang w:eastAsia="es-MX"/>
              </w:rPr>
              <w:t>1</w:t>
            </w:r>
            <w:r w:rsidR="00E725A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28F79D6D" w14:textId="77777777" w:rsidR="00306858" w:rsidRPr="00E22090" w:rsidRDefault="00306858" w:rsidP="00306858">
            <w:pPr>
              <w:pStyle w:val="TableParagraph"/>
              <w:spacing w:before="64"/>
              <w:ind w:left="11"/>
              <w:rPr>
                <w:rFonts w:ascii="Tahoma" w:hAnsi="Tahoma" w:cs="Tahoma"/>
                <w:spacing w:val="-2"/>
                <w:sz w:val="20"/>
                <w:szCs w:val="20"/>
                <w:lang w:val="es-MX"/>
              </w:rPr>
            </w:pPr>
            <w:r w:rsidRPr="004E0411">
              <w:rPr>
                <w:rFonts w:ascii="Arial" w:eastAsia="Times New Roman" w:hAnsi="Arial" w:cs="Arial"/>
                <w:b/>
                <w:bCs/>
                <w:color w:val="000000"/>
                <w:sz w:val="19"/>
                <w:szCs w:val="19"/>
                <w:lang w:eastAsia="es-MX"/>
              </w:rPr>
              <w:t>Envase (50 Lts.)</w:t>
            </w:r>
          </w:p>
        </w:tc>
      </w:tr>
      <w:tr w:rsidR="00306858" w:rsidRPr="00B12C9B" w14:paraId="54705DAB" w14:textId="77777777" w:rsidTr="003E26D0">
        <w:trPr>
          <w:trHeight w:val="240"/>
        </w:trPr>
        <w:tc>
          <w:tcPr>
            <w:tcW w:w="1111" w:type="dxa"/>
            <w:noWrap/>
          </w:tcPr>
          <w:p w14:paraId="62BAB840" w14:textId="77777777" w:rsidR="00306858" w:rsidRDefault="00306858" w:rsidP="00306858">
            <w:pPr>
              <w:jc w:val="center"/>
              <w:rPr>
                <w:rFonts w:ascii="Verdana" w:hAnsi="Verdana"/>
                <w:sz w:val="20"/>
                <w:szCs w:val="20"/>
              </w:rPr>
            </w:pPr>
          </w:p>
          <w:p w14:paraId="303B5AD9" w14:textId="77777777" w:rsidR="00306858" w:rsidRDefault="00306858" w:rsidP="00306858">
            <w:pPr>
              <w:jc w:val="center"/>
              <w:rPr>
                <w:rFonts w:ascii="Verdana" w:hAnsi="Verdana"/>
                <w:sz w:val="20"/>
                <w:szCs w:val="20"/>
              </w:rPr>
            </w:pPr>
            <w:r>
              <w:rPr>
                <w:rFonts w:ascii="Verdana" w:hAnsi="Verdana"/>
                <w:sz w:val="20"/>
                <w:szCs w:val="20"/>
              </w:rPr>
              <w:t>4</w:t>
            </w:r>
          </w:p>
        </w:tc>
        <w:tc>
          <w:tcPr>
            <w:tcW w:w="6349" w:type="dxa"/>
            <w:tcBorders>
              <w:top w:val="nil"/>
              <w:left w:val="nil"/>
              <w:bottom w:val="single" w:sz="8" w:space="0" w:color="auto"/>
              <w:right w:val="single" w:sz="8" w:space="0" w:color="auto"/>
            </w:tcBorders>
            <w:noWrap/>
            <w:vAlign w:val="center"/>
          </w:tcPr>
          <w:p w14:paraId="70190A60" w14:textId="48A17A55" w:rsidR="00306858" w:rsidRPr="004E0411" w:rsidRDefault="00306858" w:rsidP="00306858">
            <w:pPr>
              <w:jc w:val="center"/>
              <w:rPr>
                <w:rFonts w:ascii="Arial" w:eastAsia="Times New Roman" w:hAnsi="Arial" w:cs="Arial"/>
                <w:b/>
                <w:bCs/>
                <w:color w:val="000000"/>
                <w:sz w:val="19"/>
                <w:szCs w:val="19"/>
                <w:lang w:eastAsia="es-MX"/>
              </w:rPr>
            </w:pPr>
            <w:r w:rsidRPr="004E0411">
              <w:rPr>
                <w:rFonts w:ascii="Arial" w:eastAsia="Times New Roman" w:hAnsi="Arial" w:cs="Arial"/>
                <w:b/>
                <w:bCs/>
                <w:color w:val="000000"/>
                <w:sz w:val="19"/>
                <w:szCs w:val="19"/>
                <w:lang w:eastAsia="es-MX"/>
              </w:rPr>
              <w:t xml:space="preserve">DICLORO: </w:t>
            </w:r>
            <w:r w:rsidRPr="004E0411">
              <w:rPr>
                <w:rFonts w:ascii="Arial" w:eastAsia="Times New Roman" w:hAnsi="Arial" w:cs="Arial"/>
                <w:color w:val="000000"/>
                <w:sz w:val="19"/>
                <w:szCs w:val="19"/>
                <w:lang w:eastAsia="es-MX"/>
              </w:rPr>
              <w:t>Que sea de rápida acción, que suba los niveles de clor en el agua de la piscina en corto tiempo, con objetivo principal en el tratamiento del agua sea la de superclorar rápidamente, suba los niveles de cloro residual entre .0 y 8.0 p.p.m. y destruya contaminantes como bacterias algas, hongos, sudor, orina entre otros</w:t>
            </w:r>
            <w:r w:rsidR="00E725A1">
              <w:rPr>
                <w:rFonts w:ascii="Arial" w:eastAsia="Times New Roman" w:hAnsi="Arial" w:cs="Arial"/>
                <w:color w:val="000000"/>
                <w:sz w:val="19"/>
                <w:szCs w:val="19"/>
                <w:lang w:eastAsia="es-MX"/>
              </w:rPr>
              <w:t xml:space="preserve"> y las cloraminas formadas en el agua.</w:t>
            </w:r>
          </w:p>
        </w:tc>
        <w:tc>
          <w:tcPr>
            <w:tcW w:w="1295" w:type="dxa"/>
            <w:noWrap/>
          </w:tcPr>
          <w:p w14:paraId="0BAFF306" w14:textId="4BF4C733" w:rsidR="00306858" w:rsidRPr="00266F01" w:rsidRDefault="00306858" w:rsidP="00306858">
            <w:pPr>
              <w:pStyle w:val="TableParagraph"/>
              <w:spacing w:before="64"/>
              <w:ind w:left="13"/>
              <w:rPr>
                <w:rFonts w:ascii="Arial" w:eastAsia="Times New Roman" w:hAnsi="Arial" w:cs="Arial"/>
                <w:b/>
                <w:bCs/>
                <w:color w:val="000000"/>
                <w:sz w:val="19"/>
                <w:szCs w:val="19"/>
                <w:lang w:eastAsia="es-MX"/>
              </w:rPr>
            </w:pPr>
            <w:r>
              <w:rPr>
                <w:rFonts w:ascii="Arial" w:eastAsia="Times New Roman" w:hAnsi="Arial" w:cs="Arial"/>
                <w:color w:val="000000"/>
                <w:sz w:val="18"/>
                <w:szCs w:val="18"/>
                <w:lang w:eastAsia="es-MX"/>
              </w:rPr>
              <w:t>1</w:t>
            </w:r>
            <w:r w:rsidR="00E725A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780AE140" w14:textId="77777777" w:rsidR="00306858" w:rsidRPr="004E0411" w:rsidRDefault="00306858" w:rsidP="00306858">
            <w:pPr>
              <w:pStyle w:val="TableParagraph"/>
              <w:spacing w:before="64"/>
              <w:ind w:left="11"/>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Envase (50 KG.)</w:t>
            </w:r>
          </w:p>
        </w:tc>
      </w:tr>
      <w:tr w:rsidR="00306858" w:rsidRPr="00B12C9B" w14:paraId="3A0B00CA" w14:textId="77777777" w:rsidTr="003E26D0">
        <w:trPr>
          <w:trHeight w:val="240"/>
        </w:trPr>
        <w:tc>
          <w:tcPr>
            <w:tcW w:w="1111" w:type="dxa"/>
            <w:noWrap/>
          </w:tcPr>
          <w:p w14:paraId="75C6480D" w14:textId="77777777" w:rsidR="00306858" w:rsidRDefault="00306858" w:rsidP="00306858">
            <w:pPr>
              <w:jc w:val="center"/>
              <w:rPr>
                <w:rFonts w:ascii="Verdana" w:hAnsi="Verdana"/>
                <w:sz w:val="20"/>
                <w:szCs w:val="20"/>
              </w:rPr>
            </w:pPr>
          </w:p>
          <w:p w14:paraId="52C7203E" w14:textId="77777777" w:rsidR="00306858" w:rsidRDefault="00306858" w:rsidP="00306858">
            <w:pPr>
              <w:jc w:val="center"/>
              <w:rPr>
                <w:rFonts w:ascii="Verdana" w:hAnsi="Verdana"/>
                <w:sz w:val="20"/>
                <w:szCs w:val="20"/>
              </w:rPr>
            </w:pPr>
            <w:r>
              <w:rPr>
                <w:rFonts w:ascii="Verdana" w:hAnsi="Verdana"/>
                <w:sz w:val="20"/>
                <w:szCs w:val="20"/>
              </w:rPr>
              <w:t>5</w:t>
            </w:r>
          </w:p>
        </w:tc>
        <w:tc>
          <w:tcPr>
            <w:tcW w:w="6349" w:type="dxa"/>
            <w:tcBorders>
              <w:top w:val="nil"/>
              <w:left w:val="nil"/>
              <w:bottom w:val="single" w:sz="8" w:space="0" w:color="auto"/>
              <w:right w:val="single" w:sz="8" w:space="0" w:color="auto"/>
            </w:tcBorders>
            <w:noWrap/>
            <w:vAlign w:val="center"/>
          </w:tcPr>
          <w:p w14:paraId="3C2CDEBD" w14:textId="77777777" w:rsidR="00306858" w:rsidRPr="00022772" w:rsidRDefault="00306858" w:rsidP="00306858">
            <w:pPr>
              <w:jc w:val="center"/>
              <w:rPr>
                <w:rFonts w:ascii="Arial" w:eastAsia="Times New Roman" w:hAnsi="Arial" w:cs="Arial"/>
                <w:color w:val="000000"/>
                <w:sz w:val="19"/>
                <w:szCs w:val="19"/>
                <w:lang w:eastAsia="es-MX"/>
              </w:rPr>
            </w:pPr>
            <w:r w:rsidRPr="00022772">
              <w:rPr>
                <w:rFonts w:ascii="Arial" w:eastAsia="Times New Roman" w:hAnsi="Arial" w:cs="Arial"/>
                <w:b/>
                <w:bCs/>
                <w:color w:val="000000"/>
                <w:sz w:val="19"/>
                <w:szCs w:val="19"/>
                <w:lang w:eastAsia="es-MX"/>
              </w:rPr>
              <w:t xml:space="preserve">PH </w:t>
            </w:r>
            <w:r w:rsidRPr="00022772">
              <w:rPr>
                <w:rFonts w:ascii="Arial" w:eastAsia="Times New Roman" w:hAnsi="Arial" w:cs="Arial"/>
                <w:color w:val="000000"/>
                <w:sz w:val="19"/>
                <w:szCs w:val="19"/>
                <w:lang w:eastAsia="es-MX"/>
              </w:rPr>
              <w:t xml:space="preserve">- producto utilizado para bajar gradualmente los niveles de PH en el agua de las albercas o fuentes. </w:t>
            </w:r>
            <w:r>
              <w:rPr>
                <w:rFonts w:ascii="Arial" w:eastAsia="Times New Roman" w:hAnsi="Arial" w:cs="Arial"/>
                <w:color w:val="000000"/>
                <w:sz w:val="19"/>
                <w:szCs w:val="19"/>
                <w:lang w:eastAsia="es-MX"/>
              </w:rPr>
              <w:t xml:space="preserve"> </w:t>
            </w:r>
            <w:r w:rsidRPr="00022772">
              <w:rPr>
                <w:rFonts w:ascii="Arial" w:eastAsia="Times New Roman" w:hAnsi="Arial" w:cs="Arial"/>
                <w:color w:val="000000"/>
                <w:sz w:val="19"/>
                <w:szCs w:val="19"/>
                <w:lang w:eastAsia="es-MX"/>
              </w:rPr>
              <w:t>hasta llegar a los niveles adecuados (7.2 - 7.6 ppm)</w:t>
            </w:r>
          </w:p>
        </w:tc>
        <w:tc>
          <w:tcPr>
            <w:tcW w:w="1295" w:type="dxa"/>
            <w:noWrap/>
          </w:tcPr>
          <w:p w14:paraId="2069C7F0" w14:textId="03D7A96A" w:rsidR="00306858" w:rsidRPr="00266F01" w:rsidRDefault="00E725A1" w:rsidP="00306858">
            <w:pPr>
              <w:pStyle w:val="TableParagraph"/>
              <w:spacing w:before="64"/>
              <w:ind w:left="13"/>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4</w:t>
            </w:r>
          </w:p>
        </w:tc>
        <w:tc>
          <w:tcPr>
            <w:tcW w:w="893" w:type="dxa"/>
            <w:tcBorders>
              <w:top w:val="nil"/>
              <w:left w:val="nil"/>
              <w:bottom w:val="single" w:sz="8" w:space="0" w:color="auto"/>
              <w:right w:val="single" w:sz="8" w:space="0" w:color="auto"/>
            </w:tcBorders>
            <w:vAlign w:val="center"/>
          </w:tcPr>
          <w:p w14:paraId="1527FC69" w14:textId="77777777" w:rsidR="00306858" w:rsidRPr="004E0411" w:rsidRDefault="00306858" w:rsidP="00306858">
            <w:pPr>
              <w:pStyle w:val="TableParagraph"/>
              <w:spacing w:before="64"/>
              <w:ind w:left="11"/>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Envase (50 KG.)</w:t>
            </w:r>
          </w:p>
        </w:tc>
      </w:tr>
    </w:tbl>
    <w:bookmarkEnd w:id="5"/>
    <w:p w14:paraId="3D8FE5FF" w14:textId="7F91E644" w:rsidR="00940774" w:rsidRPr="006C072A" w:rsidRDefault="00E547DB" w:rsidP="00522C2D">
      <w:pPr>
        <w:pStyle w:val="Prrafodelista"/>
        <w:numPr>
          <w:ilvl w:val="0"/>
          <w:numId w:val="2"/>
        </w:numPr>
        <w:spacing w:after="0" w:line="240" w:lineRule="auto"/>
        <w:jc w:val="both"/>
        <w:rPr>
          <w:rFonts w:ascii="Calibri" w:eastAsia="Times New Roman" w:hAnsi="Calibri" w:cs="Times New Roman"/>
          <w:b/>
          <w:lang w:eastAsia="es-MX"/>
        </w:rPr>
      </w:pPr>
      <w:r>
        <w:rPr>
          <w:rFonts w:ascii="Calibri" w:eastAsia="Times New Roman" w:hAnsi="Calibri" w:cs="Times New Roman"/>
          <w:b/>
          <w:lang w:eastAsia="es-MX"/>
        </w:rPr>
        <w:t>Para efectos de la entrega del producto, se harán de acuerdo a las necesidades del COMUDE, mimas que se pueden manejar de manera mensual, bimestral o trimestral, de las cuales se informara con 5 días de anticipación</w:t>
      </w:r>
      <w:r w:rsidR="0041790A">
        <w:rPr>
          <w:rFonts w:ascii="Calibri" w:eastAsia="Times New Roman" w:hAnsi="Calibri" w:cs="Times New Roman"/>
          <w:b/>
          <w:lang w:eastAsia="es-MX"/>
        </w:rPr>
        <w:t xml:space="preserve"> al proveedor y por ende no causaran incremento en el costo de los productos</w:t>
      </w:r>
      <w:r w:rsidR="00505687">
        <w:rPr>
          <w:rFonts w:ascii="Calibri" w:eastAsia="Times New Roman" w:hAnsi="Calibri" w:cs="Times New Roman"/>
          <w:b/>
          <w:lang w:eastAsia="es-MX"/>
        </w:rPr>
        <w:t xml:space="preserve"> ni del flete</w:t>
      </w:r>
      <w:r w:rsidR="006C072A">
        <w:rPr>
          <w:rFonts w:ascii="Calibri" w:eastAsia="Times New Roman" w:hAnsi="Calibri" w:cs="Times New Roman"/>
          <w:b/>
          <w:lang w:eastAsia="es-MX"/>
        </w:rPr>
        <w:t>.</w:t>
      </w:r>
    </w:p>
    <w:p w14:paraId="7B1B1964" w14:textId="77777777" w:rsidR="00940774" w:rsidRDefault="00940774" w:rsidP="00522C2D">
      <w:pPr>
        <w:spacing w:after="0" w:line="240" w:lineRule="auto"/>
        <w:jc w:val="both"/>
        <w:rPr>
          <w:rFonts w:ascii="Calibri" w:eastAsia="Times New Roman" w:hAnsi="Calibri" w:cs="Times New Roman"/>
          <w:b/>
          <w:kern w:val="0"/>
          <w:lang w:eastAsia="es-MX"/>
          <w14:ligatures w14:val="none"/>
        </w:rPr>
      </w:pPr>
    </w:p>
    <w:p w14:paraId="563F4714" w14:textId="72CF84EA" w:rsidR="00C75832" w:rsidRDefault="007D51EB" w:rsidP="0091152D">
      <w:pPr>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N</w:t>
      </w:r>
      <w:r w:rsidR="00522C2D" w:rsidRPr="00522C2D">
        <w:rPr>
          <w:rFonts w:ascii="Calibri" w:eastAsia="Times New Roman" w:hAnsi="Calibri" w:cs="Times New Roman"/>
          <w:b/>
          <w:kern w:val="0"/>
          <w:lang w:eastAsia="es-MX"/>
          <w14:ligatures w14:val="none"/>
        </w:rPr>
        <w:t>ota: La</w:t>
      </w:r>
      <w:r w:rsidR="00505687">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w:t>
      </w:r>
      <w:r w:rsidR="00505687" w:rsidRPr="00522C2D">
        <w:rPr>
          <w:rFonts w:ascii="Calibri" w:eastAsia="Times New Roman" w:hAnsi="Calibri" w:cs="Times New Roman"/>
          <w:b/>
          <w:kern w:val="0"/>
          <w:lang w:eastAsia="es-MX"/>
          <w14:ligatures w14:val="none"/>
        </w:rPr>
        <w:t>partida</w:t>
      </w:r>
      <w:r w:rsidR="00505687">
        <w:rPr>
          <w:rFonts w:ascii="Calibri" w:eastAsia="Times New Roman" w:hAnsi="Calibri" w:cs="Times New Roman"/>
          <w:b/>
          <w:kern w:val="0"/>
          <w:lang w:eastAsia="es-MX"/>
          <w14:ligatures w14:val="none"/>
        </w:rPr>
        <w:t>s</w:t>
      </w:r>
      <w:r w:rsidR="00505687" w:rsidRPr="00522C2D">
        <w:rPr>
          <w:rFonts w:ascii="Calibri" w:eastAsia="Times New Roman" w:hAnsi="Calibri" w:cs="Times New Roman"/>
          <w:b/>
          <w:kern w:val="0"/>
          <w:lang w:eastAsia="es-MX"/>
          <w14:ligatures w14:val="none"/>
        </w:rPr>
        <w:t xml:space="preserve"> adjudicada</w:t>
      </w:r>
      <w:r w:rsidR="00505687">
        <w:rPr>
          <w:rFonts w:ascii="Calibri" w:eastAsia="Times New Roman" w:hAnsi="Calibri" w:cs="Times New Roman"/>
          <w:b/>
          <w:kern w:val="0"/>
          <w:lang w:eastAsia="es-MX"/>
          <w14:ligatures w14:val="none"/>
        </w:rPr>
        <w:t>s</w:t>
      </w:r>
      <w:r w:rsidR="00522C2D" w:rsidRPr="00522C2D">
        <w:rPr>
          <w:rFonts w:ascii="Calibri" w:eastAsia="Times New Roman" w:hAnsi="Calibri" w:cs="Times New Roman"/>
          <w:b/>
          <w:kern w:val="0"/>
          <w:lang w:eastAsia="es-MX"/>
          <w14:ligatures w14:val="none"/>
        </w:rPr>
        <w:t xml:space="preserve"> </w:t>
      </w:r>
      <w:r w:rsidR="00505687" w:rsidRPr="00522C2D">
        <w:rPr>
          <w:rFonts w:ascii="Calibri" w:eastAsia="Times New Roman" w:hAnsi="Calibri" w:cs="Times New Roman"/>
          <w:b/>
          <w:kern w:val="0"/>
          <w:lang w:eastAsia="es-MX"/>
          <w14:ligatures w14:val="none"/>
        </w:rPr>
        <w:t>deber</w:t>
      </w:r>
      <w:r w:rsidR="00505687">
        <w:rPr>
          <w:rFonts w:ascii="Calibri" w:eastAsia="Times New Roman" w:hAnsi="Calibri" w:cs="Times New Roman"/>
          <w:b/>
          <w:kern w:val="0"/>
          <w:lang w:eastAsia="es-MX"/>
          <w14:ligatures w14:val="none"/>
        </w:rPr>
        <w:t>án</w:t>
      </w:r>
      <w:r w:rsidR="00522C2D" w:rsidRPr="00522C2D">
        <w:rPr>
          <w:rFonts w:ascii="Calibri" w:eastAsia="Times New Roman" w:hAnsi="Calibri" w:cs="Times New Roman"/>
          <w:b/>
          <w:kern w:val="0"/>
          <w:lang w:eastAsia="es-MX"/>
          <w14:ligatures w14:val="none"/>
        </w:rPr>
        <w:t xml:space="preserve"> ser entregada posterior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p>
    <w:p w14:paraId="3104AD9A" w14:textId="77777777" w:rsidR="0091152D" w:rsidRDefault="0091152D" w:rsidP="0091152D">
      <w:pPr>
        <w:spacing w:after="0" w:line="240" w:lineRule="auto"/>
        <w:jc w:val="both"/>
        <w:rPr>
          <w:rFonts w:ascii="Calibri" w:eastAsia="Times New Roman" w:hAnsi="Calibri" w:cs="Times New Roman"/>
          <w:b/>
          <w:kern w:val="0"/>
          <w:lang w:eastAsia="es-MX"/>
          <w14:ligatures w14:val="none"/>
        </w:rPr>
      </w:pPr>
    </w:p>
    <w:p w14:paraId="5FAFC9AA"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07501CD2"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CEAE5BD"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2D369E0"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24AE02B"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4D3C3DD"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2BCFD04C"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0EA3473A"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250035A2"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34FD0B08"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7B26BE50" w14:textId="77777777" w:rsidR="006C072A" w:rsidRPr="0091152D" w:rsidRDefault="006C072A" w:rsidP="0091152D">
      <w:pPr>
        <w:spacing w:after="0" w:line="240" w:lineRule="auto"/>
        <w:jc w:val="both"/>
        <w:rPr>
          <w:rFonts w:ascii="Calibri" w:eastAsia="Times New Roman" w:hAnsi="Calibri" w:cs="Times New Roman"/>
          <w:b/>
          <w:kern w:val="0"/>
          <w:lang w:eastAsia="es-MX"/>
          <w14:ligatures w14:val="none"/>
        </w:rPr>
      </w:pPr>
    </w:p>
    <w:p w14:paraId="405BA94C" w14:textId="5496ADFF"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lastRenderedPageBreak/>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058564F6"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 Los invitamos a registrarse en nuestro Padrón de Proveedores, información al teléfono 32834400 ext. 3260.</w:t>
      </w:r>
    </w:p>
    <w:p w14:paraId="697EEECE"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459C52F1"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1926B5EE"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7D1E1EC9"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5.- El precio del bien o servicio objeto de la presente licitación, deberá estar especificado en moneda nacional, desglosando el I.V.A.</w:t>
      </w:r>
    </w:p>
    <w:p w14:paraId="078FEF1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6.- Detallar claramente las especificaciones de lo ofertado, el tiempo de entrega en días naturales y la garantía con la que cuentan.</w:t>
      </w:r>
    </w:p>
    <w:p w14:paraId="37D53388"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7.- Los conceptos y partidas de la cotización deberán ser en el mismo orden que se establezcan en la licitación. Así como en la factura de quien resulte adjudicado.</w:t>
      </w:r>
    </w:p>
    <w:p w14:paraId="0926B5E3"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8.- En la descripción de los bienes, deberán indicar marca y modelo. En bienes y servicios agregar curriculum del participante y deberá señalar cantidades de los bienes y servicios, precio unitario, subtotal, I.V.A. desglosado o mencionar si el producto es exento de I.V.A. y el gran total.</w:t>
      </w:r>
    </w:p>
    <w:p w14:paraId="2D1C71E6"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374A5361"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10.- Los licitantes deberán de adjuntar impresión legible y completa del Documento expedido por el SAT, del que se desprenda que el licitante se encuentra domiciliado en el Estado de Jalisco.</w:t>
      </w:r>
    </w:p>
    <w:p w14:paraId="396D8D6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AD56D3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12.- La cotización solamente podrá ser considerada si es recibida dentro del término y condiciones establecidas.</w:t>
      </w:r>
    </w:p>
    <w:p w14:paraId="28CCEDC5"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13.- A manera de poder ser evaluada la propuesta, se DEBERÁ presentar ficha técnica, manuales, certificaciones y todos los documentos que comprueben la calidad ofertada.</w:t>
      </w:r>
    </w:p>
    <w:p w14:paraId="58CA56E9"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751943"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5856F967"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lastRenderedPageBreak/>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1BAACAF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a) Depósito en efectivo realizado a través de la Tesorería Municipal para tal efecto.</w:t>
      </w:r>
    </w:p>
    <w:p w14:paraId="023A65AB"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b) Cheque certificado.</w:t>
      </w:r>
    </w:p>
    <w:p w14:paraId="155AFA1C"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c) Una fianza expedida por una institución legalmente establecida.</w:t>
      </w:r>
    </w:p>
    <w:p w14:paraId="5E39C55C"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El importe de la garantía será del 10% (diez por ciento) por cumplimiento del importe total de lo adjudicado l. V. A. incluido.</w:t>
      </w:r>
    </w:p>
    <w:p w14:paraId="69554C5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085D768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0497D363" w14:textId="185FF0D6"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18.- En caso de no presentar número de proveedor en la caratula del sobre, el participante DEBERÁ de presentar toda la documentación en impresión legible, que acredite su personalidad, así como las demás antes mencionadas y vigentes.</w:t>
      </w:r>
    </w:p>
    <w:p w14:paraId="1BFD505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522C2D">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FC80" w14:textId="77777777" w:rsidR="00AC7C04" w:rsidRDefault="00AC7C04">
      <w:pPr>
        <w:spacing w:after="0" w:line="240" w:lineRule="auto"/>
      </w:pPr>
      <w:r>
        <w:separator/>
      </w:r>
    </w:p>
  </w:endnote>
  <w:endnote w:type="continuationSeparator" w:id="0">
    <w:p w14:paraId="298FCCF9" w14:textId="77777777" w:rsidR="00AC7C04" w:rsidRDefault="00AC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CCFC" w14:textId="77777777" w:rsidR="00215250" w:rsidRDefault="002152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94DB" w14:textId="65448D43" w:rsidR="00524556" w:rsidRDefault="00524556">
    <w:pPr>
      <w:pStyle w:val="Piedepgina"/>
    </w:pPr>
    <w:r>
      <w:rPr>
        <w:noProof/>
      </w:rPr>
      <w:drawing>
        <wp:anchor distT="0" distB="0" distL="114300" distR="114300" simplePos="0" relativeHeight="251662336" behindDoc="1" locked="0" layoutInCell="1" allowOverlap="1" wp14:anchorId="11EC31F0" wp14:editId="2A236781">
          <wp:simplePos x="0" y="0"/>
          <wp:positionH relativeFrom="column">
            <wp:posOffset>-1409700</wp:posOffset>
          </wp:positionH>
          <wp:positionV relativeFrom="paragraph">
            <wp:posOffset>0</wp:posOffset>
          </wp:positionV>
          <wp:extent cx="9035526" cy="666750"/>
          <wp:effectExtent l="0" t="0" r="0" b="0"/>
          <wp:wrapNone/>
          <wp:docPr id="4278362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5526"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D886" w14:textId="77777777" w:rsidR="00215250" w:rsidRDefault="002152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E853" w14:textId="77777777" w:rsidR="00AC7C04" w:rsidRDefault="00AC7C04">
      <w:pPr>
        <w:spacing w:after="0" w:line="240" w:lineRule="auto"/>
      </w:pPr>
      <w:r>
        <w:separator/>
      </w:r>
    </w:p>
  </w:footnote>
  <w:footnote w:type="continuationSeparator" w:id="0">
    <w:p w14:paraId="67B7DDE0" w14:textId="77777777" w:rsidR="00AC7C04" w:rsidRDefault="00AC7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23E" w14:textId="77777777" w:rsidR="00215250" w:rsidRDefault="002152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6A90A424" w:rsidR="00AA6861" w:rsidRPr="00522C2D" w:rsidRDefault="006C072A" w:rsidP="006C072A">
    <w:pPr>
      <w:tabs>
        <w:tab w:val="left" w:pos="2565"/>
      </w:tabs>
      <w:rPr>
        <w:rFonts w:ascii="Core Rhino 65 Bold" w:hAnsi="Core Rhino 65 Bold" w:cs="Arial"/>
        <w:color w:val="808080"/>
        <w:sz w:val="24"/>
        <w:szCs w:val="24"/>
      </w:rPr>
    </w:pPr>
    <w:r w:rsidRPr="006C072A">
      <w:rPr>
        <w:rFonts w:ascii="Core Rhino 65 Bold" w:hAnsi="Core Rhino 65 Bold" w:cs="Arial"/>
        <w:b/>
        <w:noProof/>
        <w:color w:val="808080"/>
        <w:sz w:val="24"/>
        <w:szCs w:val="24"/>
      </w:rPr>
      <w:drawing>
        <wp:anchor distT="0" distB="0" distL="114300" distR="114300" simplePos="0" relativeHeight="251659264" behindDoc="1" locked="0" layoutInCell="1" allowOverlap="1" wp14:anchorId="29F0058C" wp14:editId="3662065E">
          <wp:simplePos x="0" y="0"/>
          <wp:positionH relativeFrom="column">
            <wp:posOffset>5397633</wp:posOffset>
          </wp:positionH>
          <wp:positionV relativeFrom="paragraph">
            <wp:posOffset>-393065</wp:posOffset>
          </wp:positionV>
          <wp:extent cx="1231265" cy="804411"/>
          <wp:effectExtent l="0" t="0" r="6985" b="0"/>
          <wp:wrapNone/>
          <wp:docPr id="14395779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044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72A">
      <w:rPr>
        <w:rFonts w:ascii="Core Rhino 65 Bold" w:hAnsi="Core Rhino 65 Bold" w:cs="Arial"/>
        <w:noProof/>
        <w:color w:val="808080"/>
        <w:sz w:val="24"/>
        <w:szCs w:val="24"/>
      </w:rPr>
      <w:drawing>
        <wp:anchor distT="0" distB="0" distL="114300" distR="114300" simplePos="0" relativeHeight="251660288" behindDoc="1" locked="0" layoutInCell="1" allowOverlap="1" wp14:anchorId="7E9840BD" wp14:editId="1362042D">
          <wp:simplePos x="0" y="0"/>
          <wp:positionH relativeFrom="column">
            <wp:posOffset>-929005</wp:posOffset>
          </wp:positionH>
          <wp:positionV relativeFrom="paragraph">
            <wp:posOffset>-333375</wp:posOffset>
          </wp:positionV>
          <wp:extent cx="1514475" cy="626189"/>
          <wp:effectExtent l="0" t="0" r="0" b="2540"/>
          <wp:wrapNone/>
          <wp:docPr id="1302684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626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ABD7" w14:textId="77777777" w:rsidR="00215250" w:rsidRDefault="002152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9B5AAC"/>
    <w:multiLevelType w:val="hybridMultilevel"/>
    <w:tmpl w:val="77F0A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257151">
    <w:abstractNumId w:val="0"/>
  </w:num>
  <w:num w:numId="2" w16cid:durableId="30061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93C5E"/>
    <w:rsid w:val="000A2E48"/>
    <w:rsid w:val="000B4B7B"/>
    <w:rsid w:val="000D1F27"/>
    <w:rsid w:val="000F25BF"/>
    <w:rsid w:val="000F3CCC"/>
    <w:rsid w:val="001A23A1"/>
    <w:rsid w:val="001E7F68"/>
    <w:rsid w:val="00212C1D"/>
    <w:rsid w:val="00215250"/>
    <w:rsid w:val="002427E1"/>
    <w:rsid w:val="002611D9"/>
    <w:rsid w:val="002705B9"/>
    <w:rsid w:val="002E5453"/>
    <w:rsid w:val="00306858"/>
    <w:rsid w:val="00375329"/>
    <w:rsid w:val="00381D89"/>
    <w:rsid w:val="00387C65"/>
    <w:rsid w:val="0039692A"/>
    <w:rsid w:val="003A411C"/>
    <w:rsid w:val="003C4DD6"/>
    <w:rsid w:val="003F67FC"/>
    <w:rsid w:val="0041790A"/>
    <w:rsid w:val="00445078"/>
    <w:rsid w:val="004842AD"/>
    <w:rsid w:val="00485882"/>
    <w:rsid w:val="004C7040"/>
    <w:rsid w:val="004D0294"/>
    <w:rsid w:val="004E28FA"/>
    <w:rsid w:val="00503180"/>
    <w:rsid w:val="00505687"/>
    <w:rsid w:val="00522C2D"/>
    <w:rsid w:val="00524556"/>
    <w:rsid w:val="00531D03"/>
    <w:rsid w:val="00540BD8"/>
    <w:rsid w:val="00543FC7"/>
    <w:rsid w:val="00571818"/>
    <w:rsid w:val="005C16A8"/>
    <w:rsid w:val="00604A00"/>
    <w:rsid w:val="0060503C"/>
    <w:rsid w:val="0061062B"/>
    <w:rsid w:val="00620C56"/>
    <w:rsid w:val="006740F1"/>
    <w:rsid w:val="006750F5"/>
    <w:rsid w:val="006C0231"/>
    <w:rsid w:val="006C072A"/>
    <w:rsid w:val="006D2D77"/>
    <w:rsid w:val="006F512B"/>
    <w:rsid w:val="006F5F40"/>
    <w:rsid w:val="007060D6"/>
    <w:rsid w:val="00783F10"/>
    <w:rsid w:val="00793867"/>
    <w:rsid w:val="007A223C"/>
    <w:rsid w:val="007C51DB"/>
    <w:rsid w:val="007D4F87"/>
    <w:rsid w:val="007D51EB"/>
    <w:rsid w:val="007F46A8"/>
    <w:rsid w:val="008015B9"/>
    <w:rsid w:val="00825FC4"/>
    <w:rsid w:val="00835BE8"/>
    <w:rsid w:val="00844350"/>
    <w:rsid w:val="008B0DBD"/>
    <w:rsid w:val="008D5E73"/>
    <w:rsid w:val="0091152D"/>
    <w:rsid w:val="0093195C"/>
    <w:rsid w:val="00940774"/>
    <w:rsid w:val="00946041"/>
    <w:rsid w:val="00965F96"/>
    <w:rsid w:val="00980163"/>
    <w:rsid w:val="009C1D5B"/>
    <w:rsid w:val="009D10FA"/>
    <w:rsid w:val="009D3D04"/>
    <w:rsid w:val="009E7E32"/>
    <w:rsid w:val="00AA6861"/>
    <w:rsid w:val="00AB5278"/>
    <w:rsid w:val="00AC7C04"/>
    <w:rsid w:val="00B01F17"/>
    <w:rsid w:val="00B40962"/>
    <w:rsid w:val="00B92E1F"/>
    <w:rsid w:val="00C22925"/>
    <w:rsid w:val="00C43475"/>
    <w:rsid w:val="00C51347"/>
    <w:rsid w:val="00C5550E"/>
    <w:rsid w:val="00C75832"/>
    <w:rsid w:val="00C926D4"/>
    <w:rsid w:val="00CC48A2"/>
    <w:rsid w:val="00CC7D9D"/>
    <w:rsid w:val="00CD7ACB"/>
    <w:rsid w:val="00D36162"/>
    <w:rsid w:val="00D63963"/>
    <w:rsid w:val="00D91281"/>
    <w:rsid w:val="00D949C9"/>
    <w:rsid w:val="00DD7228"/>
    <w:rsid w:val="00DE1968"/>
    <w:rsid w:val="00E1794B"/>
    <w:rsid w:val="00E2171D"/>
    <w:rsid w:val="00E547DB"/>
    <w:rsid w:val="00E725A1"/>
    <w:rsid w:val="00EA0181"/>
    <w:rsid w:val="00EF5440"/>
    <w:rsid w:val="00F0052D"/>
    <w:rsid w:val="00F27ECF"/>
    <w:rsid w:val="00F5537E"/>
    <w:rsid w:val="00F61486"/>
    <w:rsid w:val="00F77471"/>
    <w:rsid w:val="00F95DAB"/>
    <w:rsid w:val="00FB2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C75832"/>
    <w:pPr>
      <w:ind w:left="720"/>
      <w:contextualSpacing/>
    </w:pPr>
    <w:rPr>
      <w:kern w:val="0"/>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75832"/>
    <w:rPr>
      <w:kern w:val="0"/>
      <w14:ligatures w14:val="none"/>
    </w:rPr>
  </w:style>
  <w:style w:type="paragraph" w:customStyle="1" w:styleId="TableParagraph">
    <w:name w:val="Table Paragraph"/>
    <w:basedOn w:val="Normal"/>
    <w:uiPriority w:val="1"/>
    <w:qFormat/>
    <w:rsid w:val="00940774"/>
    <w:pPr>
      <w:widowControl w:val="0"/>
      <w:autoSpaceDE w:val="0"/>
      <w:autoSpaceDN w:val="0"/>
      <w:spacing w:after="0" w:line="248" w:lineRule="exact"/>
      <w:ind w:left="21"/>
      <w:jc w:val="center"/>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1</Pages>
  <Words>1573</Words>
  <Characters>8655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7</cp:revision>
  <cp:lastPrinted>2026-01-16T17:30:00Z</cp:lastPrinted>
  <dcterms:created xsi:type="dcterms:W3CDTF">2026-01-12T22:10:00Z</dcterms:created>
  <dcterms:modified xsi:type="dcterms:W3CDTF">2026-01-17T00:17:00Z</dcterms:modified>
</cp:coreProperties>
</file>